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4"/>
    <w:p>
      <w:pPr>
        <w:pStyle w:val="Heading1"/>
      </w:pPr>
      <w:r>
        <w:t xml:space="preserve">Homiletics Analysis: Isaiah 64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64 is a corporate lament and intercessory prayer that concludes the great penitential cry begun in Isaiah 63:7. The people, speaking with one voice, first invoke God’s past acts of terrifying power — the theophanic descents that made mountains quake and nations tremble — and plead for Him to rend the heavens and come down again with that same catastrophic authority (vv. 1–4). They then confess that God’s judgment is not arbitrary: He acts on behalf of those who wait for Him and practice righteousness, but Israel has sinned habitually and persistently, and their corporate righteousness is nothing more than a filthy garment (vv. 4–7). A tender appeal follows, drawing on the potter-clay and father-child metaphors to ground the plea for mercy not in Israel’s deserving but in God’s own creative and covenantal investment in them (vv. 8–9). The chapter closes with a vivid, painful survey of desolation — Zion a wilderness, Jerusalem burned, the temple in ruins — and ends with the urgent, almost desperate question:</w:t>
      </w:r>
      <w:r>
        <w:t xml:space="preserve"> </w:t>
      </w:r>
      <w:r>
        <w:t xml:space="preserve">“Will you restrain yourself, O LORD? Will you keep silent and afflict us severely?”</w:t>
      </w:r>
      <w:r>
        <w:t xml:space="preserve"> </w:t>
      </w:r>
      <w:r>
        <w:t xml:space="preserve">(vv. 10–12). The prayer does not end with resolution. It ends with a question, hands extended, waiting.</w:t>
      </w:r>
    </w:p>
    <w:p>
      <w:pPr>
        <w:pStyle w:val="BodyText"/>
      </w:pPr>
      <w:r>
        <w:rPr>
          <w:b/>
          <w:bCs/>
        </w:rPr>
        <w:t xml:space="preserve">This Text — Intent</w:t>
      </w:r>
    </w:p>
    <w:p>
      <w:pPr>
        <w:pStyle w:val="BodyText"/>
      </w:pPr>
      <w:r>
        <w:t xml:space="preserve">God is seeking to give His people language for the gap — the agonizing distance between what He has promised and what they presently experience. The intent is not merely to describe suffering or model confession, though both appear. The deeper intent is to teach the covenant community how to pray when God seems absent, how to confess without despair, and how to appeal to God on the basis of</w:t>
      </w:r>
      <w:r>
        <w:t xml:space="preserve"> </w:t>
      </w:r>
      <w:r>
        <w:rPr>
          <w:i/>
          <w:iCs/>
        </w:rPr>
        <w:t xml:space="preserve">who He is</w:t>
      </w:r>
      <w:r>
        <w:t xml:space="preserve"> </w:t>
      </w:r>
      <w:r>
        <w:t xml:space="preserve">rather than who they have been. Isaiah 64 is a Spirit-given grammar for honest, gospel-rooted lament. God is calling His people — then and now — to bring their desolation to Him, not as a protest against His character but as a plea rooted in it. The intent is that the reader would neither suppress honest grief nor spiral into faithless despair, but would learn to press into God precisely when His face seems hidden.</w:t>
      </w:r>
    </w:p>
    <w:p>
      <w:r>
        <w:pict>
          <v:rect style="width:0;height:1.5pt" o:hralign="center" o:hrstd="t" o:hr="t"/>
        </w:pict>
      </w:r>
    </w:p>
    <w:p>
      <w:pPr>
        <w:pStyle w:val="FirstParagraph"/>
      </w:pPr>
      <w:r>
        <w:rPr>
          <w:b/>
          <w:bCs/>
        </w:rPr>
        <w:t xml:space="preserve">Subject Sentence:</w:t>
      </w:r>
      <w:r>
        <w:t xml:space="preserve"> </w:t>
      </w:r>
      <w:r>
        <w:t xml:space="preserve">A desolate people cry out for God to rend the heavens and come down, confessing sin and appealing to His character as their only ground.</w:t>
      </w:r>
    </w:p>
    <w:p>
      <w:r>
        <w:pict>
          <v:rect style="width:0;height:1.5pt" o:hralign="center" o:hrstd="t" o:hr="t"/>
        </w:pict>
      </w:r>
    </w:p>
    <w:p>
      <w:pPr>
        <w:pStyle w:val="FirstParagraph"/>
      </w:pPr>
      <w:r>
        <w:rPr>
          <w:b/>
          <w:bCs/>
        </w:rPr>
        <w:t xml:space="preserve">Primary Claim:</w:t>
      </w:r>
      <w:r>
        <w:t xml:space="preserve"> </w:t>
      </w:r>
      <w:r>
        <w:t xml:space="preserve">God is teaching His people to bring their full desolation — sin, grief, and bewilderment together — into His presence as a prayer, trusting that His covenant identity as Father and Potter is more stable than their experience of His silence.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Eschatological vs. Immediate Reading</w:t>
      </w:r>
    </w:p>
    <w:p>
      <w:pPr>
        <w:pStyle w:val="BodyText"/>
      </w:pPr>
      <w:r>
        <w:t xml:space="preserve">Some interpreters, particularly within dispensational frameworks, treat Isaiah 63–64 primarily as a prophetic script for Israel’s end-times national repentance — a future remnant’s cry at the close of the tribulation period, with no direct application to the present church community. The text does carry genuine eschatological weight: its imagery feeds into New Testament depictions of cosmic theophany (cf. Mark 13:24–27; Revelation 6:12–17), and Paul alludes to Isaiah 64:4 in 1 Corinthians 2:9 in a clearly eschatological-revelatory direction. This much should be acknowledged. However, reducing the chapter to a future prophetic script strips it of its immediate pastoral function — it was written to and prayed by a real covenant community in real desolation, and its form is that of a lament psalm, not a prophetic timetable. The Reformed reading maintains that the text functions both within its original historical crisis (the exilic or late pre-exilic community reckoning with judgment) and as a pattern for all covenant lament, without requiring a dispensational schema to hold it together. The eschatological dimension enriches the text’s depth; it does not exhaust its meaning or restrict its application.</w:t>
      </w:r>
    </w:p>
    <w:p>
      <w:pPr>
        <w:pStyle w:val="BodyText"/>
      </w:pPr>
      <w:r>
        <w:rPr>
          <w:b/>
          <w:bCs/>
        </w:rPr>
        <w:t xml:space="preserve">The Confession-as-Sufficient-Merit Reading</w:t>
      </w:r>
    </w:p>
    <w:p>
      <w:pPr>
        <w:pStyle w:val="BodyText"/>
      </w:pPr>
      <w:r>
        <w:t xml:space="preserve">A recurring misapplication, more homiletical than exegetical, treats the confession of verses 5–7 as a spiritual technique — a sufficient ground for God’s response. The logic runs:</w:t>
      </w:r>
      <w:r>
        <w:t xml:space="preserve"> </w:t>
      </w:r>
      <w:r>
        <w:t xml:space="preserve">“They confessed thoroughly; therefore God will act.”</w:t>
      </w:r>
      <w:r>
        <w:t xml:space="preserve"> </w:t>
      </w:r>
      <w:r>
        <w:t xml:space="preserve">This inverts the text’s actual logic. The confession in verses 5–7 is not presented as meritorious but as disqualifying —</w:t>
      </w:r>
      <w:r>
        <w:t xml:space="preserve"> </w:t>
      </w:r>
      <w:r>
        <w:t xml:space="preserve">“we have all become like one who is unclean, and all our righteous deeds are like a polluted garment”</w:t>
      </w:r>
      <w:r>
        <w:t xml:space="preserve"> </w:t>
      </w:r>
      <w:r>
        <w:t xml:space="preserve">(v. 6). The ground of appeal is not the quality of the confession but the character of the God addressed:</w:t>
      </w:r>
      <w:r>
        <w:t xml:space="preserve"> </w:t>
      </w:r>
      <w:r>
        <w:t xml:space="preserve">“But now, O LORD, you are our Father; we are the clay, and you are our potter”</w:t>
      </w:r>
      <w:r>
        <w:t xml:space="preserve"> </w:t>
      </w:r>
      <w:r>
        <w:t xml:space="preserve">(v. 8). Wesleyan readings that emphasize thorough repentance as the condition of divine restoration can underweight this asymmetry. The Reformed reading insists: the confession clears away false grounds so that the true ground — God’s sovereign, fatherly, creative investment — can be seen clearly. Repentance is real and necessary; it is not, however, what moves God’s hand. God’s own character does.</w:t>
      </w:r>
    </w:p>
    <w:p>
      <w:pPr>
        <w:pStyle w:val="BodyText"/>
      </w:pPr>
      <w:r>
        <w:rPr>
          <w:b/>
          <w:bCs/>
        </w:rPr>
        <w:t xml:space="preserve">The</w:t>
      </w:r>
      <w:r>
        <w:rPr>
          <w:b/>
          <w:bCs/>
        </w:rPr>
        <w:t xml:space="preserve"> </w:t>
      </w:r>
      <w:r>
        <w:rPr>
          <w:b/>
          <w:bCs/>
        </w:rPr>
        <w:t xml:space="preserve">“Absence of God”</w:t>
      </w:r>
      <w:r>
        <w:rPr>
          <w:b/>
          <w:bCs/>
        </w:rPr>
        <w:t xml:space="preserve"> </w:t>
      </w:r>
      <w:r>
        <w:rPr>
          <w:b/>
          <w:bCs/>
        </w:rPr>
        <w:t xml:space="preserve">Theological Problem</w:t>
      </w:r>
    </w:p>
    <w:p>
      <w:pPr>
        <w:pStyle w:val="BodyText"/>
      </w:pPr>
      <w:r>
        <w:t xml:space="preserve">Some readers, particularly those influenced by theodicy-centered theologies or process theology, read the</w:t>
      </w:r>
      <w:r>
        <w:t xml:space="preserve"> </w:t>
      </w:r>
      <w:r>
        <w:t xml:space="preserve">“hidden face”</w:t>
      </w:r>
      <w:r>
        <w:t xml:space="preserve"> </w:t>
      </w:r>
      <w:r>
        <w:t xml:space="preserve">motif (v. 7) as evidence of divine passivity or limitation. This should be refuted on textual grounds. The chapter itself attributes the hiding of God’s face to Israel’s sin (</w:t>
      </w:r>
      <w:r>
        <w:t xml:space="preserve">“you have hidden your face from us and have made us melt in the hand of our iniquities,”</w:t>
      </w:r>
      <w:r>
        <w:t xml:space="preserve"> </w:t>
      </w:r>
      <w:r>
        <w:t xml:space="preserve">v. 7 ESV), not to divine incapacity or disinterest. The hiddenness is covenantal discipline, not metaphysical absence. The very act of praying the prayer assumes God is present enough to hear it. The tension the chapter holds —</w:t>
      </w:r>
      <w:r>
        <w:t xml:space="preserve"> </w:t>
      </w:r>
      <w:r>
        <w:t xml:space="preserve">“come down”</w:t>
      </w:r>
      <w:r>
        <w:t xml:space="preserve"> </w:t>
      </w:r>
      <w:r>
        <w:t xml:space="preserve">alongside</w:t>
      </w:r>
      <w:r>
        <w:t xml:space="preserve"> </w:t>
      </w:r>
      <w:r>
        <w:t xml:space="preserve">“you are our Father”</w:t>
      </w:r>
      <w:r>
        <w:t xml:space="preserve"> </w:t>
      </w:r>
      <w:r>
        <w:t xml:space="preserve">— is not a contradiction to be resolved theologically but a lived reality to be inhabited prayerfully.</w:t>
      </w:r>
    </w:p>
    <w:p>
      <w:pPr>
        <w:pStyle w:val="BodyText"/>
      </w:pPr>
      <w:r>
        <w:rPr>
          <w:b/>
          <w:bCs/>
        </w:rPr>
        <w:t xml:space="preserve">Contribution Worth Retaining</w:t>
      </w:r>
    </w:p>
    <w:p>
      <w:pPr>
        <w:pStyle w:val="BodyText"/>
      </w:pPr>
      <w:r>
        <w:t xml:space="preserve">Lutheran interpretive tradition, with its sharp Law/Gospel grammar, helpfully illuminates verses 5–7 as a genuine exposé of human inability — the</w:t>
      </w:r>
      <w:r>
        <w:t xml:space="preserve"> </w:t>
      </w:r>
      <w:r>
        <w:t xml:space="preserve">“polluted garment”</w:t>
      </w:r>
      <w:r>
        <w:t xml:space="preserve"> </w:t>
      </w:r>
      <w:r>
        <w:t xml:space="preserve">language is not rhetorical modesty but a radical verdict on the best of human religious performance. This sharpens the Reformed reading of the passage rather than contradicting it, and preachers working through verses 5–7 will benefit from letting that law-work land fully before moving to the Potter appeal in verse 8.</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44:23–26</w:t>
      </w:r>
      <w:r>
        <w:t xml:space="preserve"> </w:t>
      </w:r>
      <w:r>
        <w:t xml:space="preserve">—</w:t>
      </w:r>
      <w:r>
        <w:t xml:space="preserve"> </w:t>
      </w:r>
      <w:r>
        <w:t xml:space="preserve">“Awake! Why are you sleeping, O Lord? Rouse yourself! Do not reject us forever!”</w:t>
      </w:r>
      <w:r>
        <w:t xml:space="preserve"> </w:t>
      </w:r>
      <w:r>
        <w:t xml:space="preserve">— the closest canonical parallel in form and tone; corporate lament pressing God on the basis of covenant identity, not personal righteousness, providing canonical precedent for Isaiah 64’s mode of address.</w:t>
      </w:r>
    </w:p>
    <w:p>
      <w:pPr>
        <w:numPr>
          <w:ilvl w:val="0"/>
          <w:numId w:val="1001"/>
        </w:numPr>
      </w:pPr>
      <w:r>
        <w:rPr>
          <w:b/>
          <w:bCs/>
        </w:rPr>
        <w:t xml:space="preserve">Exodus 34:6–7</w:t>
      </w:r>
      <w:r>
        <w:t xml:space="preserve"> </w:t>
      </w:r>
      <w:r>
        <w:t xml:space="preserve">— The LORD’s own self-disclosure of His name — compassionate, gracious, slow to anger — is the theological foundation beneath Isaiah 64’s appeal; the people are praying back to God what He has declared about Himself, which is precisely the grammar of covenant prayer.</w:t>
      </w:r>
    </w:p>
    <w:p>
      <w:pPr>
        <w:numPr>
          <w:ilvl w:val="0"/>
          <w:numId w:val="1001"/>
        </w:numPr>
      </w:pPr>
      <w:r>
        <w:rPr>
          <w:b/>
          <w:bCs/>
        </w:rPr>
        <w:t xml:space="preserve">Jeremiah 18:1–10</w:t>
      </w:r>
      <w:r>
        <w:t xml:space="preserve"> </w:t>
      </w:r>
      <w:r>
        <w:t xml:space="preserve">— The potter-clay image deployed independently in Jeremiah, where God’s sovereignty over the clay is shown to include both judgment and restoration; illuminates Isaiah 64:8’s appeal to the potter metaphor as a plea grounded in God’s sovereign freedom to show mercy.</w:t>
      </w:r>
    </w:p>
    <w:p>
      <w:pPr>
        <w:numPr>
          <w:ilvl w:val="0"/>
          <w:numId w:val="1001"/>
        </w:numPr>
      </w:pPr>
      <w:r>
        <w:rPr>
          <w:b/>
          <w:bCs/>
        </w:rPr>
        <w:t xml:space="preserve">Romans 8:26–27</w:t>
      </w:r>
      <w:r>
        <w:t xml:space="preserve"> </w:t>
      </w:r>
      <w:r>
        <w:t xml:space="preserve">— The Spirit intercedes for believers with groanings too deep for words; the New Testament ground beneath Isaiah 64’s lament-grammar, showing that the Spirit-taught cry of the desolate community does not go unheard, even when it ends in a question rather than a resolution.</w:t>
      </w:r>
    </w:p>
    <w:p>
      <w:pPr>
        <w:numPr>
          <w:ilvl w:val="0"/>
          <w:numId w:val="1001"/>
        </w:numPr>
      </w:pPr>
      <w:r>
        <w:rPr>
          <w:b/>
          <w:bCs/>
        </w:rPr>
        <w:t xml:space="preserve">1 Corinthians 2:9</w:t>
      </w:r>
      <w:r>
        <w:t xml:space="preserve"> </w:t>
      </w:r>
      <w:r>
        <w:t xml:space="preserve">— Paul’s direct allusion to Isaiah 64:4 in the context of Spirit-revealed wisdom and gospel mystery; demonstrates the canonical trajectory of the passage toward eschatological revelation in Christ and grounds the</w:t>
      </w:r>
      <w:r>
        <w:t xml:space="preserve"> </w:t>
      </w:r>
      <w:r>
        <w:t xml:space="preserve">“coming down”</w:t>
      </w:r>
      <w:r>
        <w:t xml:space="preserve"> </w:t>
      </w:r>
      <w:r>
        <w:t xml:space="preserve">language in the Incarnation and its consummation.</w:t>
      </w:r>
    </w:p>
    <w:p>
      <w:r>
        <w:pict>
          <v:rect style="width:0;height:1.5pt" o:hralign="center" o:hrstd="t" o:hr="t"/>
        </w:pict>
      </w:r>
    </w:p>
    <w:p>
      <w:pPr>
        <w:pStyle w:val="FirstParagraph"/>
      </w:pPr>
      <w:r>
        <w:rPr>
          <w:b/>
          <w:bCs/>
        </w:rPr>
        <w:t xml:space="preserve">Aim:</w:t>
      </w:r>
      <w:r>
        <w:t xml:space="preserve"> </w:t>
      </w:r>
      <w:r>
        <w:t xml:space="preserve">To equip the reader to bring their full experience of desolation — including unresolved grief, honest confession, and the bewildering silence of God — into covenant prayer, trusting the character of the Father-Potter more than the evidence of present circumstances.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urgent plea:</w:t>
            </w:r>
            <w:r>
              <w:t xml:space="preserve"> </w:t>
            </w:r>
            <w:r>
              <w:t xml:space="preserve">“Oh, that you would rend the heavens and come down!”</w:t>
            </w:r>
            <w:r>
              <w:t xml:space="preserve"> </w:t>
            </w:r>
            <w:r>
              <w:t xml:space="preserve">— invoking theophanic power; mountains quaking, fire kindling, nations trembling</w:t>
            </w:r>
          </w:p>
        </w:tc>
        <w:tc>
          <w:tcPr/>
          <w:p>
            <w:pPr>
              <w:pStyle w:val="Compact"/>
            </w:pPr>
            <w:r>
              <w:t xml:space="preserve">Opens</w:t>
            </w:r>
            <w:r>
              <w:t xml:space="preserve"> </w:t>
            </w:r>
            <w:r>
              <w:rPr>
                <w:i/>
                <w:iCs/>
              </w:rPr>
              <w:t xml:space="preserve">in medias res</w:t>
            </w:r>
            <w:r>
              <w:t xml:space="preserve"> </w:t>
            </w:r>
            <w:r>
              <w:t xml:space="preserve">in intensity; picks up from 63:15’s initial</w:t>
            </w:r>
            <w:r>
              <w:t xml:space="preserve"> </w:t>
            </w:r>
            <w:r>
              <w:t xml:space="preserve">“look down from heaven”</w:t>
            </w:r>
            <w:r>
              <w:t xml:space="preserve">; the</w:t>
            </w:r>
            <w:r>
              <w:t xml:space="preserve"> </w:t>
            </w:r>
            <w:r>
              <w:t xml:space="preserve">“rend the heavens”</w:t>
            </w:r>
            <w:r>
              <w:t xml:space="preserve"> </w:t>
            </w:r>
            <w:r>
              <w:t xml:space="preserve">image is the chapter’s most vivid and theologically loaded phrase</w:t>
            </w:r>
          </w:p>
        </w:tc>
      </w:tr>
      <w:tr>
        <w:tc>
          <w:tcPr/>
          <w:p>
            <w:pPr>
              <w:pStyle w:val="Compact"/>
            </w:pPr>
            <w:r>
              <w:t xml:space="preserve">3</w:t>
            </w:r>
          </w:p>
        </w:tc>
        <w:tc>
          <w:tcPr/>
          <w:p>
            <w:pPr>
              <w:pStyle w:val="Compact"/>
            </w:pPr>
            <w:r>
              <w:t xml:space="preserve">Historical grounding: God has done awesome things in the past that were beyond expectation —</w:t>
            </w:r>
            <w:r>
              <w:t xml:space="preserve"> </w:t>
            </w:r>
            <w:r>
              <w:t xml:space="preserve">“you came down, the mountains quaked”</w:t>
            </w:r>
          </w:p>
        </w:tc>
        <w:tc>
          <w:tcPr/>
          <w:p>
            <w:pPr>
              <w:pStyle w:val="Compact"/>
            </w:pPr>
            <w:r>
              <w:t xml:space="preserve">Moves immediately from plea to precedent; the prayer is not groundless — it is anchored in actual divine acts in Israel’s history (Sinai; the Exodus theophany)</w:t>
            </w:r>
          </w:p>
        </w:tc>
      </w:tr>
      <w:tr>
        <w:tc>
          <w:tcPr/>
          <w:p>
            <w:pPr>
              <w:pStyle w:val="Compact"/>
            </w:pPr>
            <w:r>
              <w:t xml:space="preserve">4</w:t>
            </w:r>
          </w:p>
        </w:tc>
        <w:tc>
          <w:tcPr/>
          <w:p>
            <w:pPr>
              <w:pStyle w:val="Compact"/>
            </w:pPr>
            <w:r>
              <w:t xml:space="preserve">God’s uniqueness:</w:t>
            </w:r>
            <w:r>
              <w:t xml:space="preserve"> </w:t>
            </w:r>
            <w:r>
              <w:t xml:space="preserve">“From of old no one has heard or perceived by the ear, no eye has seen a God besides you, who acts for those who wait for him”</w:t>
            </w:r>
          </w:p>
        </w:tc>
        <w:tc>
          <w:tcPr/>
          <w:p>
            <w:pPr>
              <w:pStyle w:val="Compact"/>
            </w:pPr>
            <w:r>
              <w:t xml:space="preserve">This verse grounds the plea in God’s incomparable character and His covenantal pattern of acting for those who wait; Paul draws on this in 1 Cor. 2:9 for the Spirit’s revelation of the gospel</w:t>
            </w:r>
          </w:p>
        </w:tc>
      </w:tr>
      <w:tr>
        <w:tc>
          <w:tcPr/>
          <w:p>
            <w:pPr>
              <w:pStyle w:val="Compact"/>
            </w:pPr>
            <w:r>
              <w:t xml:space="preserve">5a</w:t>
            </w:r>
          </w:p>
        </w:tc>
        <w:tc>
          <w:tcPr/>
          <w:p>
            <w:pPr>
              <w:pStyle w:val="Compact"/>
            </w:pPr>
            <w:r>
              <w:t xml:space="preserve">Transition: God meets those who joyfully work righteousness and remember His ways</w:t>
            </w:r>
          </w:p>
        </w:tc>
        <w:tc>
          <w:tcPr/>
          <w:p>
            <w:pPr>
              <w:pStyle w:val="Compact"/>
            </w:pPr>
            <w:r>
              <w:t xml:space="preserve">Brief acknowledgment of the covenant pattern of blessing — which immediately makes the confession that follows more devastating</w:t>
            </w:r>
          </w:p>
        </w:tc>
      </w:tr>
      <w:tr>
        <w:tc>
          <w:tcPr/>
          <w:p>
            <w:pPr>
              <w:pStyle w:val="Compact"/>
            </w:pPr>
            <w:r>
              <w:t xml:space="preserve">5b–7</w:t>
            </w:r>
          </w:p>
        </w:tc>
        <w:tc>
          <w:tcPr/>
          <w:p>
            <w:pPr>
              <w:pStyle w:val="Compact"/>
            </w:pPr>
            <w:r>
              <w:t xml:space="preserve">The great confession:</w:t>
            </w:r>
            <w:r>
              <w:t xml:space="preserve"> </w:t>
            </w:r>
            <w:r>
              <w:t xml:space="preserve">“We have sinned; in our sins we have been a long time, and shall we be saved?”</w:t>
            </w:r>
            <w:r>
              <w:t xml:space="preserve"> </w:t>
            </w:r>
            <w:r>
              <w:t xml:space="preserve">—</w:t>
            </w:r>
            <w:r>
              <w:t xml:space="preserve"> </w:t>
            </w:r>
            <w:r>
              <w:t xml:space="preserve">“all our righteous deeds are like a polluted garment”</w:t>
            </w:r>
            <w:r>
              <w:t xml:space="preserve"> </w:t>
            </w:r>
            <w:r>
              <w:t xml:space="preserve">—</w:t>
            </w:r>
            <w:r>
              <w:t xml:space="preserve"> </w:t>
            </w:r>
            <w:r>
              <w:t xml:space="preserve">“we all fade like a leaf”</w:t>
            </w:r>
            <w:r>
              <w:t xml:space="preserve"> </w:t>
            </w:r>
            <w:r>
              <w:t xml:space="preserve">— God has hidden His face; sin has swept them away</w:t>
            </w:r>
          </w:p>
        </w:tc>
        <w:tc>
          <w:tcPr/>
          <w:p>
            <w:pPr>
              <w:pStyle w:val="Compact"/>
            </w:pPr>
            <w:r>
              <w:t xml:space="preserve">The passage’s theological center of gravity; comprehensive, corporate, unsparing confession — applies to the community’s entire spiritual condition, not merely specific transgressions</w:t>
            </w:r>
          </w:p>
        </w:tc>
      </w:tr>
      <w:tr>
        <w:tc>
          <w:tcPr/>
          <w:p>
            <w:pPr>
              <w:pStyle w:val="Compact"/>
            </w:pPr>
            <w:r>
              <w:t xml:space="preserve">8</w:t>
            </w:r>
          </w:p>
        </w:tc>
        <w:tc>
          <w:tcPr/>
          <w:p>
            <w:pPr>
              <w:pStyle w:val="Compact"/>
            </w:pPr>
            <w:r>
              <w:t xml:space="preserve">The pivot:</w:t>
            </w:r>
            <w:r>
              <w:t xml:space="preserve"> </w:t>
            </w:r>
            <w:r>
              <w:t xml:space="preserve">“But now, O LORD, you are our Father; we are the clay, and you are our potter; we are all the work of your hand”</w:t>
            </w:r>
          </w:p>
        </w:tc>
        <w:tc>
          <w:tcPr/>
          <w:p>
            <w:pPr>
              <w:pStyle w:val="Compact"/>
            </w:pPr>
            <w:r>
              <w:t xml:space="preserve">The</w:t>
            </w:r>
            <w:r>
              <w:t xml:space="preserve"> </w:t>
            </w:r>
            <w:r>
              <w:t xml:space="preserve">“but now”</w:t>
            </w:r>
            <w:r>
              <w:t xml:space="preserve"> </w:t>
            </w:r>
            <w:r>
              <w:t xml:space="preserve">is the hinge of the entire chapter — the appeal shifts from what Israel has done (confession) to who God is (identity); Father and Potter are the twin grounds of the plea</w:t>
            </w:r>
          </w:p>
        </w:tc>
      </w:tr>
      <w:tr>
        <w:tc>
          <w:tcPr/>
          <w:p>
            <w:pPr>
              <w:pStyle w:val="Compact"/>
            </w:pPr>
            <w:r>
              <w:t xml:space="preserve">9</w:t>
            </w:r>
          </w:p>
        </w:tc>
        <w:tc>
          <w:tcPr/>
          <w:p>
            <w:pPr>
              <w:pStyle w:val="Compact"/>
            </w:pPr>
            <w:r>
              <w:t xml:space="preserve">Appeal for measured response:</w:t>
            </w:r>
            <w:r>
              <w:t xml:space="preserve"> </w:t>
            </w:r>
            <w:r>
              <w:t xml:space="preserve">“Be not so terribly angry, O LORD, and remember not iniquity forever. Behold, please look, we are all your people”</w:t>
            </w:r>
          </w:p>
        </w:tc>
        <w:tc>
          <w:tcPr/>
          <w:p>
            <w:pPr>
              <w:pStyle w:val="Compact"/>
            </w:pPr>
            <w:r>
              <w:t xml:space="preserve">The request: do not be furious; do not remember sin forever; the ground:</w:t>
            </w:r>
            <w:r>
              <w:t xml:space="preserve"> </w:t>
            </w:r>
            <w:r>
              <w:t xml:space="preserve">“we are all your people”</w:t>
            </w:r>
            <w:r>
              <w:t xml:space="preserve"> </w:t>
            </w:r>
            <w:r>
              <w:t xml:space="preserve">— a covenant claim, not a moral claim</w:t>
            </w:r>
          </w:p>
        </w:tc>
      </w:tr>
      <w:tr>
        <w:tc>
          <w:tcPr/>
          <w:p>
            <w:pPr>
              <w:pStyle w:val="Compact"/>
            </w:pPr>
            <w:r>
              <w:t xml:space="preserve">10–11</w:t>
            </w:r>
          </w:p>
        </w:tc>
        <w:tc>
          <w:tcPr/>
          <w:p>
            <w:pPr>
              <w:pStyle w:val="Compact"/>
            </w:pPr>
            <w:r>
              <w:t xml:space="preserve">Description of present desolation: Zion a wilderness, Jerusalem desolate, the holy temple burned,</w:t>
            </w:r>
            <w:r>
              <w:t xml:space="preserve"> </w:t>
            </w:r>
            <w:r>
              <w:t xml:space="preserve">“all our pleasant places”</w:t>
            </w:r>
            <w:r>
              <w:t xml:space="preserve"> </w:t>
            </w:r>
            <w:r>
              <w:t xml:space="preserve">in ruins</w:t>
            </w:r>
          </w:p>
        </w:tc>
        <w:tc>
          <w:tcPr/>
          <w:p>
            <w:pPr>
              <w:pStyle w:val="Compact"/>
            </w:pPr>
            <w:r>
              <w:t xml:space="preserve">The physical devastation is presented as the concrete evidence that the situation is urgent; the desolation of the temple is particularly significant — the locus of God’s presence is in ruins</w:t>
            </w:r>
          </w:p>
        </w:tc>
      </w:tr>
      <w:tr>
        <w:tc>
          <w:tcPr/>
          <w:p>
            <w:pPr>
              <w:pStyle w:val="Compact"/>
            </w:pPr>
            <w:r>
              <w:t xml:space="preserve">12</w:t>
            </w:r>
          </w:p>
        </w:tc>
        <w:tc>
          <w:tcPr/>
          <w:p>
            <w:pPr>
              <w:pStyle w:val="Compact"/>
            </w:pPr>
            <w:r>
              <w:t xml:space="preserve">The final, unanswered question:</w:t>
            </w:r>
            <w:r>
              <w:t xml:space="preserve"> </w:t>
            </w:r>
            <w:r>
              <w:t xml:space="preserve">“Will you restrain yourself, O LORD? Will you keep silent, and afflict us so severely?”</w:t>
            </w:r>
          </w:p>
        </w:tc>
        <w:tc>
          <w:tcPr/>
          <w:p>
            <w:pPr>
              <w:pStyle w:val="Compact"/>
            </w:pPr>
            <w:r>
              <w:t xml:space="preserve">The chapter ends without resolution — the question hangs; this is not a failure of faith but the honest posture of covenant lament; the answer belongs to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Plea: Rend the Heavens — Come Down</w:t>
            </w:r>
          </w:p>
        </w:tc>
      </w:tr>
      <w:tr>
        <w:tc>
          <w:tcPr/>
          <w:p>
            <w:pPr>
              <w:pStyle w:val="Compact"/>
            </w:pPr>
            <w:r>
              <w:t xml:space="preserve">2</w:t>
            </w:r>
          </w:p>
        </w:tc>
        <w:tc>
          <w:tcPr/>
          <w:p>
            <w:pPr>
              <w:pStyle w:val="Compact"/>
            </w:pPr>
            <w:r>
              <w:t xml:space="preserve">5–7</w:t>
            </w:r>
          </w:p>
        </w:tc>
        <w:tc>
          <w:tcPr/>
          <w:p>
            <w:pPr>
              <w:pStyle w:val="Compact"/>
            </w:pPr>
            <w:r>
              <w:t xml:space="preserve">The Confession: We Are Undone by Our Own Iniquity</w:t>
            </w:r>
          </w:p>
        </w:tc>
      </w:tr>
      <w:tr>
        <w:tc>
          <w:tcPr/>
          <w:p>
            <w:pPr>
              <w:pStyle w:val="Compact"/>
            </w:pPr>
            <w:r>
              <w:t xml:space="preserve">3</w:t>
            </w:r>
          </w:p>
        </w:tc>
        <w:tc>
          <w:tcPr/>
          <w:p>
            <w:pPr>
              <w:pStyle w:val="Compact"/>
            </w:pPr>
            <w:r>
              <w:t xml:space="preserve">8–9</w:t>
            </w:r>
          </w:p>
        </w:tc>
        <w:tc>
          <w:tcPr/>
          <w:p>
            <w:pPr>
              <w:pStyle w:val="Compact"/>
            </w:pPr>
            <w:r>
              <w:t xml:space="preserve">The Pivot: You Are Our Father; You Are Our Potter</w:t>
            </w:r>
          </w:p>
        </w:tc>
      </w:tr>
      <w:tr>
        <w:tc>
          <w:tcPr/>
          <w:p>
            <w:pPr>
              <w:pStyle w:val="Compact"/>
            </w:pPr>
            <w:r>
              <w:t xml:space="preserve">4</w:t>
            </w:r>
          </w:p>
        </w:tc>
        <w:tc>
          <w:tcPr/>
          <w:p>
            <w:pPr>
              <w:pStyle w:val="Compact"/>
            </w:pPr>
            <w:r>
              <w:t xml:space="preserve">10–12</w:t>
            </w:r>
          </w:p>
        </w:tc>
        <w:tc>
          <w:tcPr/>
          <w:p>
            <w:pPr>
              <w:pStyle w:val="Compact"/>
            </w:pPr>
            <w:r>
              <w:t xml:space="preserve">The Desolation: All Is Ruins — Will You Remain Silent?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desolate people cry out for God to rend the heavens and come down, confessing sin and appealing to His character as their only ground.</w:t>
      </w:r>
    </w:p>
    <w:p>
      <w:pPr>
        <w:pStyle w:val="BodyText"/>
      </w:pPr>
      <w:r>
        <w:rPr>
          <w:b/>
          <w:bCs/>
        </w:rPr>
        <w:t xml:space="preserve">Primary Claim:</w:t>
      </w:r>
      <w:r>
        <w:t xml:space="preserve"> </w:t>
      </w:r>
      <w:r>
        <w:t xml:space="preserve">God is teaching His people to bring their full desolation — sin, grief, and bewilderment together — into His presence as a prayer, trusting that His covenant identity as Father and Potter is more stable than their experience of His silence.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Reframe the silence of God as discipline, not abandonment.</w:t>
      </w:r>
      <w:r>
        <w:t xml:space="preserve"> </w:t>
      </w:r>
      <w:r>
        <w:t xml:space="preserve">Isaiah 64:7 attributes God’s hidden face to sin, not to divine indifference or absence. Many believers in seasons of spiritual desolation interpret God’s silence as evidence that He has departed, that they have exceeded the reach of His patience, or that prayer is simply not working. This passage refuses that interpretation. The hiddenness is covenantal — it is the response of a Father, not the exit of a stranger. Believers need to anchor their understanding of God’s silence not in their emotional experience of it but in the covenant framework the passage itself provides: He hides His face</w:t>
      </w:r>
      <w:r>
        <w:t xml:space="preserve"> </w:t>
      </w:r>
      <w:r>
        <w:rPr>
          <w:i/>
          <w:iCs/>
        </w:rPr>
        <w:t xml:space="preserve">in</w:t>
      </w:r>
      <w:r>
        <w:t xml:space="preserve"> </w:t>
      </w:r>
      <w:r>
        <w:t xml:space="preserve">the relationship, not</w:t>
      </w:r>
      <w:r>
        <w:t xml:space="preserve"> </w:t>
      </w:r>
      <w:r>
        <w:rPr>
          <w:i/>
          <w:iCs/>
        </w:rPr>
        <w:t xml:space="preserve">from</w:t>
      </w:r>
      <w:r>
        <w:t xml:space="preserve"> </w:t>
      </w:r>
      <w:r>
        <w:t xml:space="preserve">it.</w:t>
      </w:r>
    </w:p>
    <w:p>
      <w:pPr>
        <w:pStyle w:val="BodyText"/>
      </w:pPr>
      <w:r>
        <w:rPr>
          <w:b/>
          <w:bCs/>
        </w:rPr>
        <w:t xml:space="preserve">2. (Affections/Worship) — Let the</w:t>
      </w:r>
      <w:r>
        <w:rPr>
          <w:b/>
          <w:bCs/>
        </w:rPr>
        <w:t xml:space="preserve"> </w:t>
      </w:r>
      <w:r>
        <w:rPr>
          <w:b/>
          <w:bCs/>
        </w:rPr>
        <w:t xml:space="preserve">“polluted garment”</w:t>
      </w:r>
      <w:r>
        <w:rPr>
          <w:b/>
          <w:bCs/>
        </w:rPr>
        <w:t xml:space="preserve"> </w:t>
      </w:r>
      <w:r>
        <w:rPr>
          <w:b/>
          <w:bCs/>
        </w:rPr>
        <w:t xml:space="preserve">language do its full work before reaching for comfort.</w:t>
      </w:r>
      <w:r>
        <w:t xml:space="preserve"> </w:t>
      </w:r>
      <w:r>
        <w:t xml:space="preserve">Verses 5–7 are among the most comprehensive statements of human spiritual bankruptcy in all of Scripture. The temptation in preaching and in personal application is to move through the confession too quickly toward the comfort of verse 8. But the text does not rush. The full weight of</w:t>
      </w:r>
      <w:r>
        <w:t xml:space="preserve"> </w:t>
      </w:r>
      <w:r>
        <w:t xml:space="preserve">“all our righteous deeds are like a polluted garment”</w:t>
      </w:r>
      <w:r>
        <w:t xml:space="preserve"> </w:t>
      </w:r>
      <w:r>
        <w:t xml:space="preserve">— applied not to gross sin but to the community’s</w:t>
      </w:r>
      <w:r>
        <w:t xml:space="preserve"> </w:t>
      </w:r>
      <w:r>
        <w:rPr>
          <w:i/>
          <w:iCs/>
        </w:rPr>
        <w:t xml:space="preserve">righteousness</w:t>
      </w:r>
      <w:r>
        <w:t xml:space="preserve"> </w:t>
      </w:r>
      <w:r>
        <w:t xml:space="preserve">— is meant to collapse every residual confidence in human religious performance. Congregants who are quietly relying on their faithfulness, their record, their spiritual disciplines, or their comparative decency need to allow this language to grieve them genuinely before they hear the</w:t>
      </w:r>
      <w:r>
        <w:t xml:space="preserve"> </w:t>
      </w:r>
      <w:r>
        <w:t xml:space="preserve">“but now”</w:t>
      </w:r>
      <w:r>
        <w:t xml:space="preserve"> </w:t>
      </w:r>
      <w:r>
        <w:t xml:space="preserve">of verse 8. Grief rightly placed is not despair — it is the soil in which the Potter metaphor takes root.</w:t>
      </w:r>
    </w:p>
    <w:p>
      <w:pPr>
        <w:pStyle w:val="BodyText"/>
      </w:pPr>
      <w:r>
        <w:rPr>
          <w:b/>
          <w:bCs/>
        </w:rPr>
        <w:t xml:space="preserve">3. (Will/Behavior) — Learn to pray with the text’s own grammar: confession first, then appeal grounded in God’s character, not your improvement.</w:t>
      </w:r>
      <w:r>
        <w:t xml:space="preserve"> </w:t>
      </w:r>
      <w:r>
        <w:t xml:space="preserve">Isaiah 64 provides a template for covenant prayer in desolation, and it is structured in a specific order that matters. The prayer does not begin with petition, does not negotiate, does not promise better behavior in exchange for relief. It begins with an honest cry for theophany, moves through honest confession, and then rests its entire appeal on God’s identity — Father, Potter, Maker. Believers in crisis are often tempted either to suppress honest grief (presenting only formal petition) or to bargain (promising reform in exchange for rescue). This passage teaches a third way: bring the desolation fully, confess without deflection, and then stand on who God</w:t>
      </w:r>
      <w:r>
        <w:t xml:space="preserve"> </w:t>
      </w:r>
      <w:r>
        <w:rPr>
          <w:i/>
          <w:iCs/>
        </w:rPr>
        <w:t xml:space="preserve">is</w:t>
      </w:r>
      <w:r>
        <w:t xml:space="preserve"> </w:t>
      </w:r>
      <w:r>
        <w:t xml:space="preserve">rather than who you promise to become.</w:t>
      </w:r>
    </w:p>
    <w:p>
      <w:pPr>
        <w:pStyle w:val="BodyText"/>
      </w:pPr>
      <w:r>
        <w:rPr>
          <w:b/>
          <w:bCs/>
        </w:rPr>
        <w:t xml:space="preserve">4. (Mind/Belief) — Anchor your expectation of God’s action in His character and His past acts, not in the circumstances’ trajectory.</w:t>
      </w:r>
      <w:r>
        <w:t xml:space="preserve"> </w:t>
      </w:r>
      <w:r>
        <w:t xml:space="preserve">Verses 3–4 ground the plea for divine intervention not in present circumstances (which are catastrophic) but in what God has already done and who He has already shown Himself to be.</w:t>
      </w:r>
      <w:r>
        <w:t xml:space="preserve"> </w:t>
      </w:r>
      <w:r>
        <w:t xml:space="preserve">“No eye has seen a God besides you, who acts for those who wait for him”</w:t>
      </w:r>
      <w:r>
        <w:t xml:space="preserve"> </w:t>
      </w:r>
      <w:r>
        <w:t xml:space="preserve">is not a general religious sentiment — it is a specific covenant claim based on the Exodus and Sinai theophanies. Believers facing circumstances that seem to argue against God’s nearness or power need to be trained to read backward before they read forward — to anchor expectation in the record of God’s demonstrated character rather than in the present silence’s apparent verdict.</w:t>
      </w:r>
    </w:p>
    <w:p>
      <w:pPr>
        <w:pStyle w:val="BodyText"/>
      </w:pPr>
      <w:r>
        <w:rPr>
          <w:b/>
          <w:bCs/>
        </w:rPr>
        <w:t xml:space="preserve">5. (Affections/Worship) — Bring the prayer to God even when — especially when — it ends in a question rather than a resolution.</w:t>
      </w:r>
      <w:r>
        <w:t xml:space="preserve"> </w:t>
      </w:r>
      <w:r>
        <w:t xml:space="preserve">The chapter ends with an unanswered question:</w:t>
      </w:r>
      <w:r>
        <w:t xml:space="preserve"> </w:t>
      </w:r>
      <w:r>
        <w:t xml:space="preserve">“Will you keep silent and afflict us so severely?”</w:t>
      </w:r>
      <w:r>
        <w:t xml:space="preserve"> </w:t>
      </w:r>
      <w:r>
        <w:t xml:space="preserve">There is no divine response recorded. The prayer does not resolve. This is canonical permission for believers to bring unresolved lament to God — to end the prayer session without having received the answer, without manufacturing a false peace, and without abandoning the address. Many believers either refuse to pray what they truly feel (pretending to a resolution they do not have) or abandon prayer when it does not produce resolution. Isaiah 64 models a third posture: the question pressed toward God as an act of faith, trusting that the One addressed is hearing even when He has not yet answered.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64 teaches that God is simultaneously the holy Judge whose face Israel’s sin has caused to be hidden and the Father-Potter whose creative and covenantal investment in His people is the only stable ground of appeal. The passage refuses to flatten this tension. God is not presented as merely lenient (which would make the confession unnecessary) nor as merely distant (which would make the appeal futile). The</w:t>
      </w:r>
      <w:r>
        <w:t xml:space="preserve"> </w:t>
      </w:r>
      <w:r>
        <w:t xml:space="preserve">“polluted garment”</w:t>
      </w:r>
      <w:r>
        <w:t xml:space="preserve"> </w:t>
      </w:r>
      <w:r>
        <w:t xml:space="preserve">image establishes the radical insufficiency of human righteousness before a holy God — this is not hyperbole but a theological verdict on the best of human religious performance. Against this, the potter-clay metaphor asserts that what makes restoration possible is not Israel’s capacity to improve but God’s sovereign, creative prerogative to form and reform according to His own will and for His own purposes. The theological importance of the chapter lies precisely in this: that the God who is holy enough to hide His face is also the Father committed enough to hear the prayer of those whose hands have made the hiding necessary.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64 is a sustained demonstration of what Reformed theology means by total depravity and sovereign grace operating within the covenant of grace. Verses 5–7 function as a comprehensive statement of human inability: not merely that Israel has sinned, but that their very righteousness — the best they can bring — is unacceptable before God. This removes every ground of human merit and throws the suppliant entirely onto divine initiative. The pivot at verse 8 is then unmistakably grace-shaped: the appeal is made on the basis of what God is and what God has made, not on what Israel has done or promises to do. Reformed theology sees in this the grammar of all covenant prayer: utter human disqualification held simultaneously with absolute divine faithfulness, resolved not by human improvement but by the sovereign mercy of the Father who does not abandon the work of His hands. The New Testament trajectory — Paul’s allusion in 1 Corinthians 2:9, the Spirit’s intercession in Romans 8 — shows that the</w:t>
      </w:r>
      <w:r>
        <w:t xml:space="preserve"> </w:t>
      </w:r>
      <w:r>
        <w:t xml:space="preserve">“coming down”</w:t>
      </w:r>
      <w:r>
        <w:t xml:space="preserve"> </w:t>
      </w:r>
      <w:r>
        <w:t xml:space="preserve">the chapter pleads for is ultimately answered in the Incarnation and consummated in the eschaton, grounding even this corporate lament within the larger story of Christ’s advent and return.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praying to a God who has forgotten you, abandoned the project, or been persuaded by your track record to look elsewhere. You are praying to the Father who made you, the Potter who shaped you, the One who — by His own testimony — acts for those who wait for Him. The desolation is real. The confession is necessary and full. But the ground of the prayer is not your repentance — it is His identity. Bring the whole thing to Him. Bring it even if it ends in a question. He is not silent because He is absent; He is the God who rends heavens and comes down.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only the</w:t>
      </w:r>
      <w:r>
        <w:rPr>
          <w:b/>
          <w:bCs/>
        </w:rPr>
        <w:t xml:space="preserve"> </w:t>
      </w:r>
      <w:r>
        <w:rPr>
          <w:b/>
          <w:bCs/>
        </w:rPr>
        <w:t xml:space="preserve">“polluted garment”</w:t>
      </w:r>
      <w:r>
        <w:rPr>
          <w:b/>
          <w:bCs/>
        </w:rPr>
        <w:t xml:space="preserve"> </w:t>
      </w:r>
      <w:r>
        <w:rPr>
          <w:b/>
          <w:bCs/>
        </w:rPr>
        <w:t xml:space="preserve">without the</w:t>
      </w:r>
      <w:r>
        <w:rPr>
          <w:b/>
          <w:bCs/>
        </w:rPr>
        <w:t xml:space="preserve"> </w:t>
      </w:r>
      <w:r>
        <w:rPr>
          <w:b/>
          <w:bCs/>
        </w:rPr>
        <w:t xml:space="preserve">“but now.”</w:t>
      </w:r>
      <w:r>
        <w:t xml:space="preserve"> </w:t>
      </w:r>
      <w:r>
        <w:t xml:space="preserve">Verses 5–7 are among the most theologically potent statements of human inability in Scripture, and they need to land fully. But a sermon that lingers there without following the text’s own logic to verse 8 produces despair rather than gospel lament. The text itself does not stop at verse 7. The preacher must not either. The confession is a theological demolition project that clears the ground for the only thing left standing: the character of God.</w:t>
      </w:r>
    </w:p>
    <w:p>
      <w:pPr>
        <w:numPr>
          <w:ilvl w:val="0"/>
          <w:numId w:val="1002"/>
        </w:numPr>
      </w:pPr>
      <w:r>
        <w:rPr>
          <w:b/>
          <w:bCs/>
        </w:rPr>
        <w:t xml:space="preserve">Using verse 8 (the Potter metaphor) as a general comfort without honoring its specific logical function.</w:t>
      </w:r>
      <w:r>
        <w:t xml:space="preserve"> </w:t>
      </w:r>
      <w:r>
        <w:t xml:space="preserve">“We are the clay and you are our potter”</w:t>
      </w:r>
      <w:r>
        <w:t xml:space="preserve"> </w:t>
      </w:r>
      <w:r>
        <w:t xml:space="preserve">is frequently quoted as a standalone image of God’s sovereignty and care. In context, it is doing much more precise work: it is the hinge-appeal of a desperate prayer, grounding the plea for mercy not in sentimental relationship but in the theological claim that God has a sovereign investment in His own work. Strip it from the confession-to-appeal movement and it becomes a bumper sticker; keep it in context and it becomes a lifeline.</w:t>
      </w:r>
    </w:p>
    <w:p>
      <w:pPr>
        <w:numPr>
          <w:ilvl w:val="0"/>
          <w:numId w:val="1002"/>
        </w:numPr>
      </w:pPr>
      <w:r>
        <w:rPr>
          <w:b/>
          <w:bCs/>
        </w:rPr>
        <w:t xml:space="preserve">Treating the chapter’s unresolved ending as a homiletical problem to be fixed.</w:t>
      </w:r>
      <w:r>
        <w:t xml:space="preserve"> </w:t>
      </w:r>
      <w:r>
        <w:t xml:space="preserve">Verse 12’s unanswered question is not a loose end — it is the text’s final and most honest moment. Many preachers feel compelled to provide resolution the text does not provide, often by importing New Testament fulfillment texts too quickly. The eschatological grounding is real and appropriate to include, but it should not be wielded to short-circuit the passage’s pastoral permission for honest, unanswered lament. The congregation needs to hear that it is faithful — not faithless — to end the prayer without having received the answer.</w:t>
      </w:r>
    </w:p>
    <w:p>
      <w:pPr>
        <w:numPr>
          <w:ilvl w:val="0"/>
          <w:numId w:val="1002"/>
        </w:numPr>
      </w:pPr>
      <w:r>
        <w:rPr>
          <w:b/>
          <w:bCs/>
        </w:rPr>
        <w:t xml:space="preserve">Individualizing what is explicitly corporate.</w:t>
      </w:r>
      <w:r>
        <w:t xml:space="preserve"> </w:t>
      </w:r>
      <w:r>
        <w:t xml:space="preserve">The lament throughout Isaiah 64 is spoken in the first-person plural.</w:t>
      </w:r>
      <w:r>
        <w:t xml:space="preserve"> </w:t>
      </w:r>
      <w:r>
        <w:t xml:space="preserve">“We,”</w:t>
      </w:r>
      <w:r>
        <w:t xml:space="preserve"> </w:t>
      </w:r>
      <w:r>
        <w:t xml:space="preserve">“us,”</w:t>
      </w:r>
      <w:r>
        <w:t xml:space="preserve"> </w:t>
      </w:r>
      <w:r>
        <w:t xml:space="preserve">“our”</w:t>
      </w:r>
      <w:r>
        <w:t xml:space="preserve"> </w:t>
      </w:r>
      <w:r>
        <w:t xml:space="preserve">— consistently and without exception. Reducing the applications to personal spiritual disciplines or individual emotional health misses the passage’s ecclesiological weight. The chapter is teaching the</w:t>
      </w:r>
      <w:r>
        <w:t xml:space="preserve"> </w:t>
      </w:r>
      <w:r>
        <w:rPr>
          <w:i/>
          <w:iCs/>
        </w:rPr>
        <w:t xml:space="preserve">community</w:t>
      </w:r>
      <w:r>
        <w:t xml:space="preserve"> </w:t>
      </w:r>
      <w:r>
        <w:t xml:space="preserve">how to pray together in desolation — and this has direct implications for corporate worship, congregational prayer, and the church’s willingness to acknowledge communal sin rather than only individual failure.</w:t>
      </w:r>
    </w:p>
    <w:p>
      <w:pPr>
        <w:numPr>
          <w:ilvl w:val="0"/>
          <w:numId w:val="1002"/>
        </w:numPr>
      </w:pPr>
      <w:r>
        <w:rPr>
          <w:b/>
          <w:bCs/>
        </w:rPr>
        <w:t xml:space="preserve">Preaching the theophany plea (vv. 1–4) as a general call for revival without connecting it to the specific canonical context.</w:t>
      </w:r>
      <w:r>
        <w:t xml:space="preserve"> </w:t>
      </w:r>
      <w:r>
        <w:t xml:space="preserve">“Oh, that you would rend the heavens and come down”</w:t>
      </w:r>
      <w:r>
        <w:t xml:space="preserve"> </w:t>
      </w:r>
      <w:r>
        <w:t xml:space="preserve">is a dramatically powerful image that preachers sometimes deploy as a revival exhortation untethered from its canonical freight. The plea is not generic. It is grounded in specific past theophanies (Sinai, the Exodus) and points forward canonically to the Incarnation and the eschatological return. Preaching it as a general call for spiritual awakening without these anchors reduces it to rhetoric rather than theological petition.</w:t>
      </w:r>
    </w:p>
    <w:p>
      <w:pPr>
        <w:numPr>
          <w:ilvl w:val="0"/>
          <w:numId w:val="1002"/>
        </w:numPr>
      </w:pPr>
      <w:r>
        <w:rPr>
          <w:b/>
          <w:bCs/>
        </w:rPr>
        <w:t xml:space="preserve">Bypassing the idol-diagnostic dimension of the</w:t>
      </w:r>
      <w:r>
        <w:rPr>
          <w:b/>
          <w:bCs/>
        </w:rPr>
        <w:t xml:space="preserve"> </w:t>
      </w:r>
      <w:r>
        <w:rPr>
          <w:b/>
          <w:bCs/>
        </w:rPr>
        <w:t xml:space="preserve">“hidden face”</w:t>
      </w:r>
      <w:r>
        <w:rPr>
          <w:b/>
          <w:bCs/>
        </w:rPr>
        <w:t xml:space="preserve"> </w:t>
      </w:r>
      <w:r>
        <w:rPr>
          <w:b/>
          <w:bCs/>
        </w:rPr>
        <w:t xml:space="preserve">language.</w:t>
      </w:r>
      <w:r>
        <w:t xml:space="preserve"> </w:t>
      </w:r>
      <w:r>
        <w:t xml:space="preserve">Verse 7 attributes God’s hidden face to Israel’s sin — and implicitly to their pursuit of other gods and the resulting covenantal unfaithfulness that pervades Isaiah’s entire prophetic context. The hiding of God’s face is not arbitrary discipline but the specific covenantal consequence of misplaced worship. Preachers should help congregants see that the experience of God’s absence in their own lives is not merely a psychological state or a spiritual dry spell — it may be the covenantal consequence of functional idols that have redirected worship away from the living God. This is not a call to introspective paralysis but to honest reckoning with what has displaced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2026-07-14T21:05:51Z</dcterms:created>
  <dcterms:modified xsi:type="dcterms:W3CDTF">2026-07-14T21:05:51Z</dcterms:modified>
</cp:coreProperties>
</file>

<file path=docProps/custom.xml><?xml version="1.0" encoding="utf-8"?>
<Properties xmlns="http://schemas.openxmlformats.org/officeDocument/2006/custom-properties" xmlns:vt="http://schemas.openxmlformats.org/officeDocument/2006/docPropsVTypes"/>
</file>